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E7EC" w14:textId="6928F11E" w:rsidR="005551C5" w:rsidRPr="00D16C66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6FF3FA3C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SHPALLJE PËR FURNIZIME DHE SHËRBIME</w:t>
      </w:r>
    </w:p>
    <w:p w14:paraId="7DD3BE63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3F3BE010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AKP e cila ka në Administrim të Drejtpërdrejtë Ndërmarrjen  Shoqërore “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Inex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Sharr 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Planina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” 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Brezovicë</w:t>
      </w:r>
      <w:proofErr w:type="spellEnd"/>
    </w:p>
    <w:p w14:paraId="770FA8A4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27860B5B" w14:textId="3D631FDB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SHPALLË</w:t>
      </w:r>
    </w:p>
    <w:p w14:paraId="6B91D506" w14:textId="52FC92BB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                                        </w:t>
      </w:r>
    </w:p>
    <w:p w14:paraId="62B7086D" w14:textId="3E95FD6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FTESË PËR OFERTË</w:t>
      </w:r>
    </w:p>
    <w:p w14:paraId="1B2740B9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1CB8161C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Termat e Referencës (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TeR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)                     </w:t>
      </w:r>
    </w:p>
    <w:p w14:paraId="214798B0" w14:textId="45662E5A" w:rsidR="00D16C66" w:rsidRDefault="005551C5" w:rsidP="005153AB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Planifikimi i Burimeve të Ndërmarrjes (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Enterprise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Resource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Planning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>-ERP)</w:t>
      </w:r>
    </w:p>
    <w:p w14:paraId="7C0D1C57" w14:textId="77777777" w:rsidR="005153AB" w:rsidRPr="005153AB" w:rsidRDefault="005153AB" w:rsidP="005153AB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770BF4C2" w14:textId="1E053A28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1.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Historiku dhe kontekst</w:t>
      </w:r>
    </w:p>
    <w:p w14:paraId="20B9A5F9" w14:textId="77777777" w:rsidR="00D86626" w:rsidRPr="004F62ED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4F62ED">
        <w:rPr>
          <w:rFonts w:asciiTheme="minorHAnsi" w:eastAsia="MS Mincho" w:hAnsiTheme="minorHAnsi" w:cstheme="minorHAnsi"/>
          <w:lang w:val="sq-AL"/>
        </w:rPr>
        <w:t xml:space="preserve">Qendra e </w:t>
      </w:r>
      <w:proofErr w:type="spellStart"/>
      <w:r w:rsidRPr="004F62ED">
        <w:rPr>
          <w:rFonts w:asciiTheme="minorHAnsi" w:eastAsia="MS Mincho" w:hAnsiTheme="minorHAnsi" w:cstheme="minorHAnsi"/>
          <w:lang w:val="sq-AL"/>
        </w:rPr>
        <w:t>Skijimit</w:t>
      </w:r>
      <w:proofErr w:type="spellEnd"/>
      <w:r w:rsidRPr="004F62ED">
        <w:rPr>
          <w:rFonts w:asciiTheme="minorHAnsi" w:eastAsia="MS Mincho" w:hAnsiTheme="minorHAnsi" w:cstheme="minorHAnsi"/>
          <w:lang w:val="sq-AL"/>
        </w:rPr>
        <w:t xml:space="preserve"> në </w:t>
      </w:r>
      <w:proofErr w:type="spellStart"/>
      <w:r w:rsidRPr="004F62ED">
        <w:rPr>
          <w:rFonts w:asciiTheme="minorHAnsi" w:eastAsia="MS Mincho" w:hAnsiTheme="minorHAnsi" w:cstheme="minorHAnsi"/>
          <w:lang w:val="sq-AL"/>
        </w:rPr>
        <w:t>Brezovicë</w:t>
      </w:r>
      <w:proofErr w:type="spellEnd"/>
      <w:r w:rsidRPr="004F62ED">
        <w:rPr>
          <w:rFonts w:asciiTheme="minorHAnsi" w:eastAsia="MS Mincho" w:hAnsiTheme="minorHAnsi" w:cstheme="minorHAnsi"/>
          <w:lang w:val="sq-AL"/>
        </w:rPr>
        <w:t xml:space="preserve"> funksionon si një </w:t>
      </w:r>
      <w:proofErr w:type="spellStart"/>
      <w:r w:rsidRPr="004F62ED">
        <w:rPr>
          <w:rFonts w:asciiTheme="minorHAnsi" w:eastAsia="MS Mincho" w:hAnsiTheme="minorHAnsi" w:cstheme="minorHAnsi"/>
          <w:lang w:val="sq-AL"/>
        </w:rPr>
        <w:t>destinacion</w:t>
      </w:r>
      <w:proofErr w:type="spellEnd"/>
      <w:r w:rsidRPr="004F62ED">
        <w:rPr>
          <w:rFonts w:asciiTheme="minorHAnsi" w:eastAsia="MS Mincho" w:hAnsiTheme="minorHAnsi" w:cstheme="minorHAnsi"/>
          <w:lang w:val="sq-AL"/>
        </w:rPr>
        <w:t xml:space="preserve"> i rëndësishëm turistik dimëror dhe veror në Kosovë. Aktivitetet kryesore përfshijnë: operimin e teleferikëve dhe ski-lifteve, menaxhimin e Hotelit Molika, shërbime për skiatorët dhe mysafirët, si dhe menaxhimin e infrastrukturës teknike dhe logjistike. Për modernizim dhe qëndrueshmëri afatgjatë, kërkohet implementimi i një sistemi ERP.</w:t>
      </w:r>
    </w:p>
    <w:p w14:paraId="0D20FFBA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2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Qëllimi dhe objektivat</w:t>
      </w:r>
    </w:p>
    <w:p w14:paraId="45FF33E0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Qëllimi i këtij dokumenti është të përcaktojë fushëveprimin, objektivat dhe kriteret për zbatimin e një ERP. Objektivat përfshijnë: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optimizimin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e operacioneve të biznesit, raportim të centralizuar, përmirësimin e shërbimit ndaj klientit, gjurmim financiar të saktë, menaxhim të burimeve njerëzore dhe planifikim operativ.</w:t>
      </w:r>
    </w:p>
    <w:p w14:paraId="6A75DFC8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3.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Fushëveprimi i punës (ERP – modulet)</w:t>
      </w:r>
    </w:p>
    <w:p w14:paraId="4716D977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ERP duhet të përfshijë modulet: Financat dhe Kontabilitetin; Menaxhimin e Burimeve Njerëzore; Menaxhimin e Hoteleve dhe Rezervimeve; Inventarin dhe Furnizimet; Integrimi i të dhënave për biletat për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skijim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dhe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skilift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>; Raportimin dhe Inteligjencën e Biznesit; Integrimin me ATK dhe sistemet POS.</w:t>
      </w:r>
    </w:p>
    <w:p w14:paraId="52A193F4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4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Sistemi dhe kriteret teknike</w:t>
      </w:r>
    </w:p>
    <w:p w14:paraId="1BB5DCCC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ERP duhet të jetë me arkitekturë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cloud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ose hibride, modulare dhe e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shkallëzueshme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, me kontroll qasjeje bazuar në role, integrime API, përputhshmëri me legjislacionin lokal, aftësi migrimi të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të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dhënave dhe mbështetje shumëgjuhëshe.</w:t>
      </w:r>
    </w:p>
    <w:p w14:paraId="2AE439D4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5.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Plani i zbatimit dhe rezultatet</w:t>
      </w:r>
    </w:p>
    <w:p w14:paraId="108B4AF1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4F62ED">
        <w:rPr>
          <w:rFonts w:asciiTheme="minorHAnsi" w:eastAsia="MS Mincho" w:hAnsiTheme="minorHAnsi" w:cstheme="minorHAnsi"/>
          <w:lang w:val="sq-AL"/>
        </w:rPr>
        <w:t>Fazat: analiza, përshtatja, migrimi i të dhënave, testimi, trajnimi, mbështetja pas implementimit. Rezultatet përfshijnë: softuer funksional ERP, dokumentacion për përdoruesit dhe teknik, raporte të</w:t>
      </w:r>
      <w:r w:rsidRPr="003D5045">
        <w:rPr>
          <w:rFonts w:asciiTheme="minorHAnsi" w:eastAsia="MS Mincho" w:hAnsiTheme="minorHAnsi" w:cstheme="minorHAnsi"/>
          <w:lang w:val="sq-AL"/>
        </w:rPr>
        <w:t xml:space="preserve"> </w:t>
      </w:r>
      <w:r w:rsidRPr="003D5045">
        <w:rPr>
          <w:rFonts w:asciiTheme="minorHAnsi" w:eastAsia="MS Mincho" w:hAnsiTheme="minorHAnsi" w:cstheme="minorHAnsi"/>
          <w:lang w:val="sq-AL"/>
        </w:rPr>
        <w:lastRenderedPageBreak/>
        <w:t xml:space="preserve">personalizuara, përdorues të trajnuar dhe </w:t>
      </w:r>
      <w:proofErr w:type="spellStart"/>
      <w:r w:rsidRPr="003D5045">
        <w:rPr>
          <w:rFonts w:asciiTheme="minorHAnsi" w:eastAsia="MS Mincho" w:hAnsiTheme="minorHAnsi" w:cstheme="minorHAnsi"/>
        </w:rPr>
        <w:t>Marrëveshja</w:t>
      </w:r>
      <w:proofErr w:type="spellEnd"/>
      <w:r w:rsidRPr="003D5045">
        <w:rPr>
          <w:rFonts w:asciiTheme="minorHAnsi" w:eastAsia="MS Mincho" w:hAnsiTheme="minorHAnsi" w:cstheme="minorHAnsi"/>
        </w:rPr>
        <w:t xml:space="preserve"> për </w:t>
      </w:r>
      <w:proofErr w:type="spellStart"/>
      <w:r w:rsidRPr="003D5045">
        <w:rPr>
          <w:rFonts w:asciiTheme="minorHAnsi" w:eastAsia="MS Mincho" w:hAnsiTheme="minorHAnsi" w:cstheme="minorHAnsi"/>
        </w:rPr>
        <w:t>Nivelin</w:t>
      </w:r>
      <w:proofErr w:type="spellEnd"/>
      <w:r w:rsidRPr="003D5045">
        <w:rPr>
          <w:rFonts w:asciiTheme="minorHAnsi" w:eastAsia="MS Mincho" w:hAnsiTheme="minorHAnsi" w:cstheme="minorHAnsi"/>
        </w:rPr>
        <w:t xml:space="preserve"> e </w:t>
      </w:r>
      <w:proofErr w:type="spellStart"/>
      <w:r w:rsidRPr="003D5045">
        <w:rPr>
          <w:rFonts w:asciiTheme="minorHAnsi" w:eastAsia="MS Mincho" w:hAnsiTheme="minorHAnsi" w:cstheme="minorHAnsi"/>
        </w:rPr>
        <w:t>Shërbimit</w:t>
      </w:r>
      <w:proofErr w:type="spellEnd"/>
      <w:r w:rsidRPr="003D5045">
        <w:rPr>
          <w:rFonts w:asciiTheme="minorHAnsi" w:eastAsia="MS Mincho" w:hAnsiTheme="minorHAnsi" w:cstheme="minorHAnsi"/>
        </w:rPr>
        <w:t xml:space="preserve"> (</w:t>
      </w:r>
      <w:r w:rsidRPr="003D5045">
        <w:rPr>
          <w:rFonts w:asciiTheme="minorHAnsi" w:eastAsia="MS Mincho" w:hAnsiTheme="minorHAnsi" w:cstheme="minorHAnsi"/>
          <w:lang w:val="sq-AL"/>
        </w:rPr>
        <w:t>SLA-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Service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Level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Agreement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>) e nënshkruar.</w:t>
      </w:r>
    </w:p>
    <w:p w14:paraId="4AC6B99F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6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Kualifikimet e ofruesve të shërbimeve</w:t>
      </w:r>
    </w:p>
    <w:p w14:paraId="44CBD9D6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Ofruesi duhet të ketë: së paku 3 projekte të ngjashme dhe referenca të klientëve. Ligjërisht, ofertuesi duhet: të jetë i regjistruar, të mos jetë në falimentim, të mos ketë dënime për mashtrim, korrupsion apo krim të organizuar, të mos jetë në konflikt interesi dhe të mos jetë i përjashtuar nga KRPP. Dokumentet: Certifikata e regjistrimit të biznesit, Certifikata e TVSH-së, vërtetimi nga ATK, vërtetim nga gjykata, deklaratë nën betim.</w:t>
      </w:r>
    </w:p>
    <w:p w14:paraId="5B70AEBF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7.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Kriteret e vlerësimit dhe dhënies</w:t>
      </w:r>
    </w:p>
    <w:p w14:paraId="0CECC495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Kontrata i jepet ofertuesit me çmimin më të ulët të vlerësuar që përmbush të gjitha kriteret teknike dhe ligjore. Pra, çmimi është kriteri kryesor, por oferta duhet të jetë plotësisht e përgjegjshme.</w:t>
      </w:r>
    </w:p>
    <w:p w14:paraId="723E50E2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8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Kërkesat për sigurimin e ekzekutimit</w:t>
      </w:r>
    </w:p>
    <w:p w14:paraId="5BB1D640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Siguria e ekzekutimit: 10% e kontratës, e vlefshme deri në përfundimin e kontratës.</w:t>
      </w:r>
    </w:p>
    <w:p w14:paraId="507541AC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9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Afatet e vlefshmërisë së ofertës</w:t>
      </w:r>
    </w:p>
    <w:p w14:paraId="3D6536F4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Ofertat duhet të qëndrojnë të vlefshme për 90 ditë nga data e dorëzimit. Autoriteti kontraktues mund të kërkojë zgjatje të kësaj periudhe.</w:t>
      </w:r>
    </w:p>
    <w:p w14:paraId="6EFA15D0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10.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Dorëzimi dhe hapja e ofertave</w:t>
      </w:r>
    </w:p>
    <w:p w14:paraId="0B23D157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Operatorët ekonomikë të interesuar mund të dorëzojnë ofertat dhe të kërkojnë informata më të detajuara me shkrim ose nëpërmjet e-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mailit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zyrtar nga data </w:t>
      </w:r>
      <w:r w:rsidRPr="003D5045">
        <w:rPr>
          <w:rFonts w:asciiTheme="minorHAnsi" w:eastAsia="MS Mincho" w:hAnsiTheme="minorHAnsi" w:cstheme="minorHAnsi"/>
          <w:b/>
          <w:bCs/>
          <w:lang w:val="sq-AL"/>
        </w:rPr>
        <w:t>18/09/2025</w:t>
      </w:r>
      <w:r w:rsidRPr="003D5045">
        <w:rPr>
          <w:rFonts w:asciiTheme="minorHAnsi" w:eastAsia="MS Mincho" w:hAnsiTheme="minorHAnsi" w:cstheme="minorHAnsi"/>
          <w:lang w:val="sq-AL"/>
        </w:rPr>
        <w:t xml:space="preserve"> deri më </w:t>
      </w:r>
      <w:r w:rsidRPr="003D5045">
        <w:rPr>
          <w:rFonts w:asciiTheme="minorHAnsi" w:eastAsia="MS Mincho" w:hAnsiTheme="minorHAnsi" w:cstheme="minorHAnsi"/>
          <w:b/>
          <w:bCs/>
          <w:lang w:val="sq-AL"/>
        </w:rPr>
        <w:t xml:space="preserve">07/10/2025 apo 20 ditë kalendarike </w:t>
      </w:r>
      <w:r w:rsidRPr="003D5045">
        <w:rPr>
          <w:rFonts w:asciiTheme="minorHAnsi" w:eastAsia="MS Mincho" w:hAnsiTheme="minorHAnsi" w:cstheme="minorHAnsi"/>
          <w:lang w:val="sq-AL"/>
        </w:rPr>
        <w:t>nga dita e publikimit apo shpalljes.</w:t>
      </w:r>
    </w:p>
    <w:p w14:paraId="7822A4FC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Ofertat duhet të dorëzohen në adresën e AKP-së ose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elektronikisht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deri më </w:t>
      </w:r>
      <w:r w:rsidRPr="005153AB">
        <w:rPr>
          <w:rFonts w:asciiTheme="minorHAnsi" w:eastAsia="MS Mincho" w:hAnsiTheme="minorHAnsi" w:cstheme="minorHAnsi"/>
          <w:b/>
          <w:bCs/>
          <w:lang w:val="sq-AL"/>
        </w:rPr>
        <w:t>07/10/2025</w:t>
      </w:r>
      <w:r w:rsidRPr="003D5045">
        <w:rPr>
          <w:rFonts w:asciiTheme="minorHAnsi" w:eastAsia="MS Mincho" w:hAnsiTheme="minorHAnsi" w:cstheme="minorHAnsi"/>
          <w:lang w:val="sq-AL"/>
        </w:rPr>
        <w:t xml:space="preserve"> ora 10:00. Hapja publike bëhet më </w:t>
      </w:r>
      <w:r w:rsidRPr="003D5045">
        <w:rPr>
          <w:rFonts w:asciiTheme="minorHAnsi" w:eastAsia="MS Mincho" w:hAnsiTheme="minorHAnsi" w:cstheme="minorHAnsi"/>
          <w:b/>
          <w:bCs/>
          <w:lang w:val="sq-AL"/>
        </w:rPr>
        <w:t>07/10/2025</w:t>
      </w:r>
      <w:r w:rsidRPr="003D5045">
        <w:rPr>
          <w:rFonts w:asciiTheme="minorHAnsi" w:eastAsia="MS Mincho" w:hAnsiTheme="minorHAnsi" w:cstheme="minorHAnsi"/>
          <w:lang w:val="sq-AL"/>
        </w:rPr>
        <w:t xml:space="preserve"> ora </w:t>
      </w:r>
      <w:r w:rsidRPr="003D5045">
        <w:rPr>
          <w:rFonts w:asciiTheme="minorHAnsi" w:eastAsia="MS Mincho" w:hAnsiTheme="minorHAnsi" w:cstheme="minorHAnsi"/>
          <w:b/>
          <w:bCs/>
          <w:lang w:val="sq-AL"/>
        </w:rPr>
        <w:t>11:00</w:t>
      </w:r>
      <w:r w:rsidRPr="003D5045">
        <w:rPr>
          <w:rFonts w:asciiTheme="minorHAnsi" w:eastAsia="MS Mincho" w:hAnsiTheme="minorHAnsi" w:cstheme="minorHAnsi"/>
          <w:lang w:val="sq-AL"/>
        </w:rPr>
        <w:t xml:space="preserve"> në prani të ofertuesve. Do të lexohen, emri i ofertuesit dhe çmimi total. Procesverbali nënshkruhet nga komisioni dhe përfaqësuesit e pranishëm.</w:t>
      </w:r>
    </w:p>
    <w:p w14:paraId="64204218" w14:textId="77777777" w:rsidR="00D86626" w:rsidRPr="003D5045" w:rsidRDefault="00D86626" w:rsidP="00D86626">
      <w:pPr>
        <w:numPr>
          <w:ilvl w:val="0"/>
          <w:numId w:val="14"/>
        </w:num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Adresa: Agjencia Kosovare e Privatizimit, Rr. Dritan Hoxha nr. 55, 10000 Prishtinë – Zyra për marrëdhënie me Publikun (PR) ose </w:t>
      </w:r>
    </w:p>
    <w:p w14:paraId="449477F2" w14:textId="77777777" w:rsidR="00D86626" w:rsidRPr="003D5045" w:rsidRDefault="00D86626" w:rsidP="00D86626">
      <w:pPr>
        <w:numPr>
          <w:ilvl w:val="0"/>
          <w:numId w:val="14"/>
        </w:num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Nëpërmjet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email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-it në adresën elektronike: </w:t>
      </w:r>
      <w:r w:rsidRPr="003D5045">
        <w:rPr>
          <w:rFonts w:asciiTheme="minorHAnsi" w:eastAsia="MS Mincho" w:hAnsiTheme="minorHAnsi" w:cstheme="minorHAnsi"/>
          <w:b/>
          <w:bCs/>
          <w:color w:val="0070C0"/>
          <w:u w:val="single"/>
          <w:lang w:val="sq-AL"/>
        </w:rPr>
        <w:t>info@pak-ks.org</w:t>
      </w:r>
      <w:r w:rsidRPr="003D5045">
        <w:rPr>
          <w:rFonts w:asciiTheme="minorHAnsi" w:eastAsia="MS Mincho" w:hAnsiTheme="minorHAnsi" w:cstheme="minorHAnsi"/>
          <w:color w:val="0070C0"/>
          <w:lang w:val="sq-AL"/>
        </w:rPr>
        <w:t xml:space="preserve"> </w:t>
      </w:r>
    </w:p>
    <w:p w14:paraId="0ECA67F8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</w:p>
    <w:p w14:paraId="06033B89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lastRenderedPageBreak/>
        <w:t xml:space="preserve">11.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Procedurat e ankesave</w:t>
      </w:r>
    </w:p>
    <w:p w14:paraId="450FB137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Çdo Operator Ekonomik, i cili konsideron se gjatë ndonjë faze të procedurës së prokurimit (përfshirë njoftimin, përgatitjen e tenderit, paraqitjen e ofertës, vlerësimin, apo përzgjedhjen e ofertuesit fitues), janë shkelur të drejtat e tij apo janë evidentuar parregullsi, ka të drejtë të parashtrojë ankesë.</w:t>
      </w:r>
    </w:p>
    <w:p w14:paraId="060E5889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</w:p>
    <w:p w14:paraId="6F67332B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Ankesa duhet të parashtrohet brenda një afati prej dhjetë (10) ditësh kalendarike nga dita e publikimit të njoftimit për përzgjedhjen e ofertuesit fitues, sipas kushteve të përcaktuara në dokumentacionin e tenderit.</w:t>
      </w:r>
    </w:p>
    <w:p w14:paraId="6522E9B0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</w:p>
    <w:p w14:paraId="076BE287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Ankesat paraqiten me shkrim pranë Komisionit Shqyrtues të Ankesave, i cili vepron në kuadër të Zyrës Qendrore të Agjencisë Kosovare të Privatizimit.</w:t>
      </w:r>
    </w:p>
    <w:p w14:paraId="50DE037F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</w:p>
    <w:p w14:paraId="703910A7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Nëse operatori ekonomik nuk është I kënaqur me vendimin e komisionit për Shqyrtimin e ankesave, Autoriteti kompetent për zgjidhjen e kontesteve do të jetë Gjykata Komerciale e Republikës së Kosovës.</w:t>
      </w:r>
    </w:p>
    <w:p w14:paraId="5840B7A0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12. </w:t>
      </w:r>
      <w:proofErr w:type="spellStart"/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Konfidencialiteti</w:t>
      </w:r>
      <w:proofErr w:type="spellEnd"/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 xml:space="preserve"> dhe të drejtat e pronësisë intelektuale</w:t>
      </w:r>
    </w:p>
    <w:p w14:paraId="45D150C3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Ofertuesit duhet të ruajnë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konfidencialitetin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dhe të dhënat personale sipas ligjit për mbrojtjen e të dhënave. Produktet dhe dokumentacioni i dorëzuar do të jenë pronë e Qendrës së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Skijimit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Brezovicë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>.</w:t>
      </w:r>
    </w:p>
    <w:p w14:paraId="0A14284D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13.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Afatet kohore dhe pagesat</w:t>
      </w:r>
    </w:p>
    <w:p w14:paraId="425AD52F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Afati i implementimit të kontratës është maksimum katër (4) muaj nga nënshkrimi.</w:t>
      </w:r>
      <w:r w:rsidRPr="003D5045">
        <w:rPr>
          <w:rFonts w:asciiTheme="minorHAnsi" w:eastAsia="MS Mincho" w:hAnsiTheme="minorHAnsi" w:cstheme="minorHAnsi"/>
          <w:lang w:val="sq-AL"/>
        </w:rPr>
        <w:br/>
        <w:t xml:space="preserve">Në raste të jashtëzakonshme ose për shkak të forcës madhore, Autoriteti Kontraktues, me kërkesë të arsyetuar me shkrim të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Implementuesit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>, mund të aprovojë zgjatje të afatit deri në gjashtëdhjetë (60) ditë.</w:t>
      </w:r>
      <w:r w:rsidRPr="003D5045">
        <w:rPr>
          <w:rFonts w:asciiTheme="minorHAnsi" w:eastAsia="MS Mincho" w:hAnsiTheme="minorHAnsi" w:cstheme="minorHAnsi"/>
          <w:lang w:val="sq-AL"/>
        </w:rPr>
        <w:tab/>
      </w:r>
      <w:r w:rsidRPr="003D5045">
        <w:rPr>
          <w:rFonts w:asciiTheme="minorHAnsi" w:eastAsia="MS Mincho" w:hAnsiTheme="minorHAnsi" w:cstheme="minorHAnsi"/>
          <w:lang w:val="sq-AL"/>
        </w:rPr>
        <w:br/>
        <w:t>Çdo zgjatje përtej këtij afati bëhet vetëm me Aneks të Kontratës dhe me pëlqimin e palëve. Pagesat bëhen me këste sipas fazave kryesore dhe pas pranimit të punës. Mund të aplikohet mbajtje për garanci.</w:t>
      </w:r>
    </w:p>
    <w:p w14:paraId="31B1434B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14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Anekset</w:t>
      </w:r>
    </w:p>
    <w:p w14:paraId="786F5834" w14:textId="77777777" w:rsidR="00D86626" w:rsidRPr="003D5045" w:rsidRDefault="00D86626" w:rsidP="00D86626">
      <w:pPr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Aneksi 1: Specifikimet e moduleve                                                                                                                           Aneksi 2: Formulari i Ofertës</w:t>
      </w:r>
      <w:r w:rsidRPr="003D5045">
        <w:rPr>
          <w:rFonts w:asciiTheme="minorHAnsi" w:eastAsia="MS Mincho" w:hAnsiTheme="minorHAnsi" w:cstheme="minorHAnsi"/>
          <w:lang w:val="sq-AL"/>
        </w:rPr>
        <w:br/>
        <w:t>Aneksi 3: Përshkrimi i Çmimeve</w:t>
      </w:r>
      <w:r w:rsidRPr="003D5045">
        <w:rPr>
          <w:rFonts w:asciiTheme="minorHAnsi" w:eastAsia="MS Mincho" w:hAnsiTheme="minorHAnsi" w:cstheme="minorHAnsi"/>
          <w:lang w:val="sq-AL"/>
        </w:rPr>
        <w:br/>
        <w:t>Aneksi 4: Deklarata nën Betim</w:t>
      </w:r>
      <w:r w:rsidRPr="003D5045">
        <w:rPr>
          <w:rFonts w:asciiTheme="minorHAnsi" w:eastAsia="MS Mincho" w:hAnsiTheme="minorHAnsi" w:cstheme="minorHAnsi"/>
          <w:lang w:val="sq-AL"/>
        </w:rPr>
        <w:br/>
        <w:t>Aneksi 5: Siguria e Ofertës (format standard)</w:t>
      </w:r>
      <w:r w:rsidRPr="003D5045">
        <w:rPr>
          <w:rFonts w:asciiTheme="minorHAnsi" w:eastAsia="MS Mincho" w:hAnsiTheme="minorHAnsi" w:cstheme="minorHAnsi"/>
          <w:lang w:val="sq-AL"/>
        </w:rPr>
        <w:br/>
      </w:r>
    </w:p>
    <w:p w14:paraId="27E08C28" w14:textId="5D7893CA" w:rsidR="004F508C" w:rsidRPr="003D5045" w:rsidRDefault="004F508C" w:rsidP="00D86626">
      <w:pPr>
        <w:rPr>
          <w:rFonts w:asciiTheme="minorHAnsi" w:hAnsiTheme="minorHAnsi" w:cstheme="minorHAnsi"/>
          <w:lang w:val="sq-AL"/>
        </w:rPr>
      </w:pPr>
    </w:p>
    <w:sectPr w:rsidR="004F508C" w:rsidRPr="003D5045" w:rsidSect="003B435E">
      <w:headerReference w:type="default" r:id="rId8"/>
      <w:footerReference w:type="default" r:id="rId9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8D42" w14:textId="77777777" w:rsidR="00107C9A" w:rsidRDefault="00107C9A" w:rsidP="000B2668">
      <w:pPr>
        <w:spacing w:after="0" w:line="240" w:lineRule="auto"/>
      </w:pPr>
      <w:r>
        <w:separator/>
      </w:r>
    </w:p>
  </w:endnote>
  <w:endnote w:type="continuationSeparator" w:id="0">
    <w:p w14:paraId="082BE241" w14:textId="77777777" w:rsidR="00107C9A" w:rsidRDefault="00107C9A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4543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sq-AL" w:eastAsia="sq-A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1A189A9" wp14:editId="0D2B0AAA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C542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proofErr w:type="spellStart"/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  <w:proofErr w:type="spellEnd"/>
                        </w:p>
                        <w:p w14:paraId="73985E3F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189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14:paraId="7F2CC542" w14:textId="77777777"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proofErr w:type="spellStart"/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  <w:proofErr w:type="spellEnd"/>
                  </w:p>
                  <w:p w14:paraId="73985E3F" w14:textId="77777777"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sq-AL" w:eastAsia="sq-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44CF4F" wp14:editId="35D1E257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5D165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6DAEE136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44CF4F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14:paraId="2A35D165" w14:textId="77777777"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14:paraId="6DAEE136" w14:textId="77777777"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sq-AL" w:eastAsia="sq-A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4F8E0" wp14:editId="1E2C77FA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366DE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0E0E24A0" w14:textId="77777777" w:rsidR="004C585F" w:rsidRPr="004C585F" w:rsidRDefault="00CD3DC1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www</w:t>
                          </w:r>
                          <w:r w:rsidR="004C585F" w:rsidRPr="004C585F">
                            <w:rPr>
                              <w:rFonts w:ascii="Times New Roman" w:hAnsi="Times New Roman"/>
                              <w:sz w:val="18"/>
                            </w:rPr>
                            <w:t>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E4F8E0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14:paraId="2A8366DE" w14:textId="77777777"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14:paraId="0E0E24A0" w14:textId="77777777" w:rsidR="004C585F" w:rsidRPr="004C585F" w:rsidRDefault="00CD3DC1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www</w:t>
                    </w:r>
                    <w:r w:rsidR="004C585F" w:rsidRPr="004C585F">
                      <w:rPr>
                        <w:rFonts w:ascii="Times New Roman" w:hAnsi="Times New Roman"/>
                        <w:sz w:val="18"/>
                      </w:rPr>
                      <w:t>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sq-AL" w:eastAsia="sq-AL"/>
      </w:rPr>
      <w:drawing>
        <wp:anchor distT="0" distB="0" distL="114300" distR="114300" simplePos="0" relativeHeight="251667456" behindDoc="1" locked="0" layoutInCell="1" allowOverlap="1" wp14:anchorId="2B037A0E" wp14:editId="3F6E2275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CD3DC1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CD3DC1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A8A2" w14:textId="77777777" w:rsidR="00107C9A" w:rsidRDefault="00107C9A" w:rsidP="000B2668">
      <w:pPr>
        <w:spacing w:after="0" w:line="240" w:lineRule="auto"/>
      </w:pPr>
      <w:r>
        <w:separator/>
      </w:r>
    </w:p>
  </w:footnote>
  <w:footnote w:type="continuationSeparator" w:id="0">
    <w:p w14:paraId="19B57EAF" w14:textId="77777777" w:rsidR="00107C9A" w:rsidRDefault="00107C9A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B1AD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sq-AL"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4EE9F" wp14:editId="45D30495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E2B7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sq-AL" w:eastAsia="sq-AL"/>
      </w:rPr>
      <w:drawing>
        <wp:inline distT="0" distB="0" distL="0" distR="0" wp14:anchorId="4B639228" wp14:editId="45EAF40E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E05328B"/>
    <w:multiLevelType w:val="hybridMultilevel"/>
    <w:tmpl w:val="A0E4BFA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92E7B"/>
    <w:multiLevelType w:val="multilevel"/>
    <w:tmpl w:val="ABB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B70"/>
    <w:rsid w:val="00022B28"/>
    <w:rsid w:val="000245A5"/>
    <w:rsid w:val="00044195"/>
    <w:rsid w:val="00047A07"/>
    <w:rsid w:val="00085A76"/>
    <w:rsid w:val="000B2668"/>
    <w:rsid w:val="00107C9A"/>
    <w:rsid w:val="00130B8B"/>
    <w:rsid w:val="001322B4"/>
    <w:rsid w:val="00132D78"/>
    <w:rsid w:val="00145CE6"/>
    <w:rsid w:val="00152FCF"/>
    <w:rsid w:val="00155ABC"/>
    <w:rsid w:val="00156695"/>
    <w:rsid w:val="00166DAE"/>
    <w:rsid w:val="00186B22"/>
    <w:rsid w:val="001B7B3F"/>
    <w:rsid w:val="001C1C60"/>
    <w:rsid w:val="001F641F"/>
    <w:rsid w:val="00230048"/>
    <w:rsid w:val="002554A4"/>
    <w:rsid w:val="002647AE"/>
    <w:rsid w:val="002A793D"/>
    <w:rsid w:val="002A7E4C"/>
    <w:rsid w:val="002B6AAF"/>
    <w:rsid w:val="002B6C09"/>
    <w:rsid w:val="002F0A9C"/>
    <w:rsid w:val="0033144F"/>
    <w:rsid w:val="003357F7"/>
    <w:rsid w:val="00367153"/>
    <w:rsid w:val="00370FFB"/>
    <w:rsid w:val="00391773"/>
    <w:rsid w:val="00393528"/>
    <w:rsid w:val="00396B68"/>
    <w:rsid w:val="003B435E"/>
    <w:rsid w:val="003D44F7"/>
    <w:rsid w:val="003D5045"/>
    <w:rsid w:val="003E076D"/>
    <w:rsid w:val="00421359"/>
    <w:rsid w:val="00446736"/>
    <w:rsid w:val="00453F4E"/>
    <w:rsid w:val="00457110"/>
    <w:rsid w:val="004578D3"/>
    <w:rsid w:val="0049099A"/>
    <w:rsid w:val="004A5F8B"/>
    <w:rsid w:val="004B3A37"/>
    <w:rsid w:val="004C585F"/>
    <w:rsid w:val="004E6DBE"/>
    <w:rsid w:val="004F508C"/>
    <w:rsid w:val="004F62ED"/>
    <w:rsid w:val="005153AB"/>
    <w:rsid w:val="00545F98"/>
    <w:rsid w:val="005551C5"/>
    <w:rsid w:val="00574835"/>
    <w:rsid w:val="00574920"/>
    <w:rsid w:val="00591465"/>
    <w:rsid w:val="005A485E"/>
    <w:rsid w:val="005F7782"/>
    <w:rsid w:val="006145B0"/>
    <w:rsid w:val="00622A2E"/>
    <w:rsid w:val="00627C33"/>
    <w:rsid w:val="006743F2"/>
    <w:rsid w:val="006C48D3"/>
    <w:rsid w:val="006C5EB8"/>
    <w:rsid w:val="006E3E32"/>
    <w:rsid w:val="0070640A"/>
    <w:rsid w:val="00711C35"/>
    <w:rsid w:val="00711F8B"/>
    <w:rsid w:val="00714593"/>
    <w:rsid w:val="00714AEF"/>
    <w:rsid w:val="00723A92"/>
    <w:rsid w:val="007241B3"/>
    <w:rsid w:val="0074525B"/>
    <w:rsid w:val="00792681"/>
    <w:rsid w:val="007A17B6"/>
    <w:rsid w:val="007C2E4A"/>
    <w:rsid w:val="00812A6B"/>
    <w:rsid w:val="0081793A"/>
    <w:rsid w:val="00854AB5"/>
    <w:rsid w:val="00894E5B"/>
    <w:rsid w:val="008C5365"/>
    <w:rsid w:val="008F27EE"/>
    <w:rsid w:val="00900CE1"/>
    <w:rsid w:val="00911BD0"/>
    <w:rsid w:val="009207F0"/>
    <w:rsid w:val="00931A28"/>
    <w:rsid w:val="009373DB"/>
    <w:rsid w:val="00977759"/>
    <w:rsid w:val="009A5F14"/>
    <w:rsid w:val="009D3C7F"/>
    <w:rsid w:val="009E54F0"/>
    <w:rsid w:val="00A00856"/>
    <w:rsid w:val="00A02E36"/>
    <w:rsid w:val="00A03E07"/>
    <w:rsid w:val="00A40432"/>
    <w:rsid w:val="00A42121"/>
    <w:rsid w:val="00A441DB"/>
    <w:rsid w:val="00A45807"/>
    <w:rsid w:val="00A54A9E"/>
    <w:rsid w:val="00A719BA"/>
    <w:rsid w:val="00A82D67"/>
    <w:rsid w:val="00AA5953"/>
    <w:rsid w:val="00AC76DD"/>
    <w:rsid w:val="00AD0607"/>
    <w:rsid w:val="00AF38FF"/>
    <w:rsid w:val="00B02B58"/>
    <w:rsid w:val="00B11D50"/>
    <w:rsid w:val="00B122E1"/>
    <w:rsid w:val="00B57EA8"/>
    <w:rsid w:val="00B63E61"/>
    <w:rsid w:val="00B74CF5"/>
    <w:rsid w:val="00B76294"/>
    <w:rsid w:val="00BD6780"/>
    <w:rsid w:val="00BE558C"/>
    <w:rsid w:val="00C6009B"/>
    <w:rsid w:val="00C61392"/>
    <w:rsid w:val="00C9001C"/>
    <w:rsid w:val="00CB0325"/>
    <w:rsid w:val="00CB6DB1"/>
    <w:rsid w:val="00CD3DC1"/>
    <w:rsid w:val="00D1119E"/>
    <w:rsid w:val="00D16C66"/>
    <w:rsid w:val="00D177F4"/>
    <w:rsid w:val="00D23F5B"/>
    <w:rsid w:val="00D3118A"/>
    <w:rsid w:val="00D71261"/>
    <w:rsid w:val="00D86626"/>
    <w:rsid w:val="00D86825"/>
    <w:rsid w:val="00D9202B"/>
    <w:rsid w:val="00DA67B6"/>
    <w:rsid w:val="00DC40D5"/>
    <w:rsid w:val="00E250B2"/>
    <w:rsid w:val="00E3163C"/>
    <w:rsid w:val="00E420E2"/>
    <w:rsid w:val="00E77110"/>
    <w:rsid w:val="00EA5C8F"/>
    <w:rsid w:val="00EA76C6"/>
    <w:rsid w:val="00EF5251"/>
    <w:rsid w:val="00EF5978"/>
    <w:rsid w:val="00EF6333"/>
    <w:rsid w:val="00F0349B"/>
    <w:rsid w:val="00F5187B"/>
    <w:rsid w:val="00F915C5"/>
    <w:rsid w:val="00F92F13"/>
    <w:rsid w:val="00FB6C8B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49602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D828-9B20-496F-898C-3646EB0A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18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Avni Jashari</dc:creator>
  <cp:keywords/>
  <cp:lastModifiedBy>Nevgize Krasniqi</cp:lastModifiedBy>
  <cp:revision>14</cp:revision>
  <cp:lastPrinted>2022-04-05T09:10:00Z</cp:lastPrinted>
  <dcterms:created xsi:type="dcterms:W3CDTF">2025-09-16T12:02:00Z</dcterms:created>
  <dcterms:modified xsi:type="dcterms:W3CDTF">2025-09-18T07:28:00Z</dcterms:modified>
</cp:coreProperties>
</file>